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2" w:rsidRPr="0023059C" w:rsidRDefault="00EA2F32" w:rsidP="00CB741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2017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A8769D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A8769D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A8769D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A8769D">
        <w:t>5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A8769D">
        <w:t>19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D40916" w:rsidRPr="00582F63"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2931E1">
        <w:t xml:space="preserve"> </w:t>
      </w:r>
      <w:r w:rsidR="00590C2B" w:rsidRPr="002931E1">
        <w:t>(40.04.01)</w:t>
      </w:r>
      <w:r w:rsidR="00590C2B">
        <w:rPr>
          <w:b/>
          <w:sz w:val="32"/>
          <w:szCs w:val="32"/>
        </w:rPr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профессионально-</w:t>
      </w:r>
      <w:r w:rsidR="003D310F">
        <w:t xml:space="preserve"> </w:t>
      </w:r>
      <w:r w:rsidR="00FA01FF">
        <w:t>компетентностная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>магистратуры и ее направленности (профиля) 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 программа, а также формирования у</w:t>
      </w:r>
      <w:r w:rsidR="003D310F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081412">
        <w:t xml:space="preserve">030900 (40.04.01) 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081412">
        <w:t xml:space="preserve"> (</w:t>
      </w:r>
      <w:r w:rsidR="002931E1" w:rsidRPr="002931E1">
        <w:t xml:space="preserve">40.04.01) </w:t>
      </w:r>
      <w:r w:rsidR="002931E1">
        <w:rPr>
          <w:b/>
          <w:sz w:val="32"/>
          <w:szCs w:val="32"/>
        </w:rPr>
        <w:t xml:space="preserve">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6A1D3B" w:rsidRPr="006A1D3B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D726D3" w:rsidRPr="0023059C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CB334F">
        <w:t>9</w:t>
      </w:r>
      <w:r w:rsidR="0047390C" w:rsidRPr="0023059C">
        <w:t xml:space="preserve"> зачетных единиц </w:t>
      </w:r>
      <w:r w:rsidR="008D714D">
        <w:t xml:space="preserve">- </w:t>
      </w:r>
      <w:r w:rsidR="00CB334F">
        <w:t>324</w:t>
      </w:r>
      <w:r w:rsidR="0047390C" w:rsidRPr="0023059C">
        <w:t xml:space="preserve"> час</w:t>
      </w:r>
      <w:r w:rsidR="00CB334F">
        <w:t>а</w:t>
      </w:r>
      <w:r w:rsidR="00A744A4" w:rsidRPr="0023059C">
        <w:t>.</w:t>
      </w:r>
    </w:p>
    <w:p w:rsidR="00A53D3B" w:rsidRDefault="00A53D3B" w:rsidP="00A53D3B">
      <w:pPr>
        <w:pStyle w:val="Default"/>
        <w:ind w:firstLine="709"/>
        <w:jc w:val="both"/>
      </w:pPr>
      <w:r>
        <w:rPr>
          <w:b/>
          <w:bCs/>
        </w:rPr>
        <w:t>1.4. Структура и содержание практики</w:t>
      </w:r>
      <w:r>
        <w:t>.</w:t>
      </w:r>
    </w:p>
    <w:p w:rsidR="00A53D3B" w:rsidRDefault="00A53D3B" w:rsidP="00A53D3B">
      <w:pPr>
        <w:pStyle w:val="Default"/>
        <w:ind w:firstLine="709"/>
        <w:jc w:val="both"/>
      </w:pPr>
      <w:r>
        <w:t>1.4.1. Структура и содержание учебной практики студентов магистратуры определяются Федеральным государственным образовательным стандартом высшего профессионального образования по направлению подготовки магистров 40.04.01 «Юриспруденция» и настоящей Программой практики.</w:t>
      </w:r>
    </w:p>
    <w:p w:rsidR="00A53D3B" w:rsidRDefault="00A53D3B" w:rsidP="00A53D3B">
      <w:pPr>
        <w:pStyle w:val="Default"/>
        <w:ind w:firstLine="709"/>
        <w:jc w:val="both"/>
      </w:pPr>
      <w:r>
        <w:t>1.4.2. В процессе обучения студенты магистратуры проходят учебную практику на 1 курсе. Общая трудоемкость учебной практики составляет 9 зачетных единиц – 324 часов.</w:t>
      </w:r>
    </w:p>
    <w:p w:rsidR="00A53D3B" w:rsidRPr="00A53D3B" w:rsidRDefault="00A53D3B" w:rsidP="00A53D3B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902"/>
        <w:gridCol w:w="4326"/>
      </w:tblGrid>
      <w:tr w:rsidR="00A53D3B" w:rsidRPr="00A53D3B" w:rsidTr="00A53D3B">
        <w:trPr>
          <w:trHeight w:val="9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Этапы практики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Трудоёмкость (в академических часах)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Формы текущего контроля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Подготовительный этап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Консультирование руководителем практики от Университета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Основной этап</w:t>
            </w:r>
          </w:p>
          <w:p w:rsidR="00A53D3B" w:rsidRPr="00A53D3B" w:rsidRDefault="00A53D3B" w:rsidP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Деятельность обучающегося по месту прохождения практики,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300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Аналитический этап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Собеседование с руководителем практики от Университета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Заключительный этап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proofErr w:type="gramStart"/>
            <w:r w:rsidRPr="00A53D3B">
              <w:rPr>
                <w:rStyle w:val="FontStyle15"/>
                <w:b w:val="0"/>
              </w:rPr>
              <w:t>Письменное</w:t>
            </w:r>
            <w:proofErr w:type="gramEnd"/>
            <w:r w:rsidRPr="00A53D3B">
              <w:rPr>
                <w:rStyle w:val="FontStyle15"/>
                <w:b w:val="0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53D3B" w:rsidRPr="00A53D3B" w:rsidRDefault="00A53D3B" w:rsidP="00A53D3B">
      <w:pPr>
        <w:pStyle w:val="Default"/>
        <w:ind w:firstLine="709"/>
        <w:jc w:val="both"/>
      </w:pPr>
    </w:p>
    <w:p w:rsidR="001A63CA" w:rsidRPr="0023059C" w:rsidRDefault="001A63CA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</w:t>
      </w:r>
      <w:r w:rsidR="0056150D" w:rsidRPr="0023059C">
        <w:lastRenderedPageBreak/>
        <w:t>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71695A">
        <w:rPr>
          <w:b/>
          <w:bCs/>
          <w:iCs/>
        </w:rPr>
        <w:t xml:space="preserve">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(юридической клинике,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</w:t>
      </w:r>
      <w:r w:rsidR="00F6776F" w:rsidRPr="0023059C">
        <w:lastRenderedPageBreak/>
        <w:t xml:space="preserve">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lastRenderedPageBreak/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lastRenderedPageBreak/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lastRenderedPageBreak/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>На основе изученных в ходе прохождения практики материалов гражданских дел 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Составьте письменную правовую консультацию клиенту, а также подготовьте </w:t>
      </w:r>
      <w:r>
        <w:lastRenderedPageBreak/>
        <w:t>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Pr="0023059C">
        <w:t xml:space="preserve">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t xml:space="preserve">Кузнецов А.Н. Гражданское право и гражданский процесс (консультационные материалы для подготовки к экзаменам) [Электронный ресурс]: учебное пособие/ </w:t>
      </w:r>
      <w:r w:rsidRPr="001009A2">
        <w:rPr>
          <w:shd w:val="clear" w:color="auto" w:fill="FFFFFF"/>
        </w:rPr>
        <w:lastRenderedPageBreak/>
        <w:t>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Pr="002121A0" w:rsidRDefault="0066247C" w:rsidP="005A1781">
      <w:pPr>
        <w:jc w:val="center"/>
        <w:rPr>
          <w:b/>
        </w:rPr>
      </w:pPr>
      <w:r>
        <w:rPr>
          <w:b/>
        </w:rPr>
        <w:t>Рекомендуемая д</w:t>
      </w:r>
      <w:r w:rsidR="005A1781" w:rsidRPr="002121A0">
        <w:rPr>
          <w:b/>
        </w:rPr>
        <w:t>ополнительная литература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Афанасьев С.Ф., Зайцев А.И. Гражданское процессуальное право. Учебник для бакалавров. М.: Юрайт, 2011.</w:t>
      </w:r>
    </w:p>
    <w:p w:rsidR="005A1781" w:rsidRPr="002121A0" w:rsidRDefault="005A1781" w:rsidP="005A1781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121A0">
        <w:t>Безлепкин Б.Т. Настольная книга следователя и дознавателя. 3-е изд., перераб. и доп. - "Проспект", 2013 г.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Беков Я.Х. "Подготовка дела к судебному разбирательству в гражданском  судопроизводстве Монография". "Волтерс Клувер", 2010;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Бутырин А.Ю. "Теория и практика судебной строительно-технической экспертизы"."Городец", 2006;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Васьковский Е.В. Учебник гражданского процесса. Краснодар, 2003;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</w:pPr>
      <w:r w:rsidRPr="002121A0">
        <w:t>Власов А.А. Гражданский процесс: учебник для бакалавров. 6-е издание, М.: Юрайт, 2013.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/ Под ред. В.В. Яркова. М.: изд-во ИнфотропикМедиа, 2012.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spacing w:after="120"/>
        <w:ind w:left="0" w:firstLine="709"/>
        <w:jc w:val="both"/>
      </w:pPr>
      <w:r w:rsidRPr="002121A0">
        <w:t>Гражданский процесс / Под ред. М.К. Треушникова. М.: изд-во Городец, 2010.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России / Под ред. М.А. Викут. М.: изд-во Юрист,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Практикум / Под ред. А.Т. Боннера. М.: изд-во Проспект, 2011.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Гражданский процесс. Хрестоматия. Под ред. М.К. Треушникова. Москва,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Хрестоматия: учебное пособие / Под ред. М.К. Треушникова. М.: изд-во Городец,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Л.В. Тумановой. М.: изд-во Проспект, 2008.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М.С. Шакарян. М.: изд-во Проспект, 2004.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Гражданское процессуальное право России [Электронный ресурс]: учебник для студентов вузов, обучающихся по специальности 030501 «Юриспруденция»/ Л.В. Туманова [и др.].— Электрон. текстовые данные.— М.: ЮНИТИ-ДАНА, 2012.— 575 c.— Режим доступа: http://www.iprbookshop.ru/7038.—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 xml:space="preserve">Гражданское процессуальное право России. Углубленный курс. / Под редакцией С.Ф. Афанасьева. М., Юрайт. 2013.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Гражданское процессуальное право: Учебник / Под ред. М.С. Шакарян. М., 2004;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lang w:eastAsia="en-US"/>
        </w:rPr>
      </w:pPr>
      <w:r w:rsidRPr="002121A0"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c.— Режим доступа: http://www.iprbookshop.ru/1362.—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200 c.— Режим доступа: http://www.iprbookshop.ru/1362.—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 xml:space="preserve">Клеймёнова М.О. Особенности рассмотрения отдельных категорий дел в гражданском процессе [Электронный ресурс]: учебное пособие/ Клеймёнова М.О.— </w:t>
      </w:r>
      <w:r w:rsidRPr="002121A0">
        <w:rPr>
          <w:shd w:val="clear" w:color="auto" w:fill="FFFFFF"/>
        </w:rPr>
        <w:lastRenderedPageBreak/>
        <w:t>Электрон. текстовые данные.— М.: Московский финансово-промышленный университет «Синергия», 2013.— 448 c.— Режим доступа: http://www.iprbookshop.ru/17036.—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Ковтун Н.Н.  Правовые позиции Верховного Суда Российской Федерации о подготовке дела к судебному разбирательству. "Российский судья", 2010, № 4;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М.С. Шакарян. М.: изд-во Проспект, 2007.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В.М. Жуйкова, М.К. Треушникова. М.: изд-во Городец, 2007.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t>Корпоративное право: учебник и практикум для бакалавриата и магистратуры /О.А. Макарова. М.,2016.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Кузнецов А.Н. Избранные лекции по гражданскому процессуальному праву. Часть 1 [Электронный ресурс]/ Кузнецов А.Н.— Электрон. текстовые данные.— Саратов: Вузовское образование, 2013.— 653 c.— Режим доступа: http://www.iprbookshop.ru/17790.—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2121A0">
        <w:rPr>
          <w:shd w:val="clear" w:color="auto" w:fill="FFFFFF"/>
        </w:rPr>
        <w:t>Кузнецов А.П. Арбитражный процесс [Электронный ресурс]: учебное пособие для студентов вузов, обучающихся по специальности «Юриспруденция»/ Кузнецов А.П., Козлов Р.П.— Электрон. текстовые данные.— М.: ЮНИТИ-ДАНА, 2015.— 319 c.— Режим доступа: http://www.iprbookshop.ru/34449.— ЭБС «IPRbooks», по паролю.</w:t>
      </w:r>
    </w:p>
    <w:p w:rsidR="005A1781" w:rsidRPr="002121A0" w:rsidRDefault="005A1781" w:rsidP="009149E6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</w:pPr>
      <w:r w:rsidRPr="002121A0">
        <w:t xml:space="preserve">Кузнецов О.Ю. Международно-правовая практика обеспечения прав лиц, не владеющих языком судопроизводства страны, осуществляющей правосудие (по материалам Европейского суда по правам человека). "Арбитражный и гражданский процесс", 2010, № 3;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Кузнецов С.А. "Обеспечительные меры в гражданском и административном судопроизводстве".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Курс доказательственного права [Электронный ресурс]: гражданский процесс. Арбитражный процесс/ С.Ф. Афанасьев [и др.].— Электрон. текстовые данные.— М.: Статут, 2014.— 496 c.— Режим доступа: http://www.iprbookshop.ru/29220.—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 xml:space="preserve">Лесницкая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>Молчанов В.В. Основы теории доказательств в гражданском процессуальном праве [Электронный ресурс]: учебное пособие/ Молчанов В.В.— Электрон. текстовые данные.— М.: Зерцало-М, 2015.— 354 c.— Режим доступа: http://www.iprbookshop.ru/5844.—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Нефедьев Е.А. Учебник русского гражданского судопроизводства. Краснодар,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Обеспечительные меры в практике административного производства арбитражного суда. Под ред. В.А. Ершова "ГроссМедиа", "РОСБУХ", 2008;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Особенности рассмотрения дел в арбитражном процессе Практическое пособие.</w:t>
      </w:r>
      <w:r w:rsidRPr="002121A0">
        <w:rPr>
          <w:rFonts w:eastAsia="Calibri"/>
        </w:rPr>
        <w:br/>
        <w:t>Отв. ред. А.А. Арифулин, И.В. Решетникова "НОРМА",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Особенности рассмотрения и разрешения отдельных категорий гражданских дел: исковое производство. Под ред. И.К. Пискарева "Городец", 2005;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Первова Л.Т. Гражданский процесс [Электронный ресурс]: учебное пособие/ Первова Л.Т.— Электрон. текстовые данные.— М.: Всероссийский государственный университет юстиции, 2015.— 338 c.— Режим доступа: http://www.iprbookshop.ru/47254.—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 xml:space="preserve">Практикум по гражданскому процессу [Электронный ресурс]: учебное пособие с программами по общему курсу гражданского процесса и спецкурсам (спецсеминарам), с примерной тематикой курсовых и дипломных работ/ В.В. Аргунов [и др.].— Электрон. </w:t>
      </w:r>
      <w:r w:rsidRPr="002121A0">
        <w:rPr>
          <w:shd w:val="clear" w:color="auto" w:fill="FFFFFF"/>
        </w:rPr>
        <w:lastRenderedPageBreak/>
        <w:t>текстовые данные.— М.: Статут, 2014.— 352 c.— Режим доступа: http://www.iprbookshop.ru/29020.—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Приходько И.А. "Доступность правосудия в арбитражном и гражданском процессе основные проблемы" "Издательство юридического факультета С.-Петербургского государственного университета",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ar-SA"/>
        </w:rPr>
      </w:pPr>
      <w:r w:rsidRPr="002121A0">
        <w:rPr>
          <w:rFonts w:eastAsia="Calibri"/>
        </w:rPr>
        <w:t xml:space="preserve">Приходько И.А., Пацация М.Ш.  Суд не вправе изменять процессуальный статус лица, участвующего в деле, а также прекращать в отношении его производство по делу // </w:t>
      </w:r>
      <w:r w:rsidRPr="002121A0">
        <w:t>Комментарий судебно-арбитражной практики. Выпуск 9 / Под ред. В.Ф. Яковлева. М.: Юридическая литература, 2002.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Рожкова М.А. Проблемы утверждения мировых соглашений в арбитражном суде</w:t>
      </w:r>
      <w:r w:rsidRPr="002121A0">
        <w:rPr>
          <w:rFonts w:eastAsia="Calibri"/>
        </w:rPr>
        <w:br/>
        <w:t>"Юридическая литература",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Россинская Е.Р., Галяшина Е.И. "Настольная книга судьи судебная экспертиза"</w:t>
      </w:r>
      <w:r w:rsidRPr="002121A0">
        <w:rPr>
          <w:rFonts w:eastAsia="Calibri"/>
        </w:rPr>
        <w:br/>
        <w:t xml:space="preserve">"Проспект", 2011;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Скуратовский М.Л. "Подготовка дела к судебному разбирательству в арбитражном суде первой инстанции", "Волтерс Клувер", 2007;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Справочник по доказыванию в гражданском судопроизводстве / Под редакцией И.В. Решетниковой. М.: Издательство Норма. 2002;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Судебная экспертиза в арбитражном процессе/ под ред. Д.В. Гончарова, И.В. Решетниковой.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Туманова Л.В. Гражданское процессуальное право России [Электронный ресурс]: учебник/ Туманова Л.В., Алексий П.В., Эриашвили Н.Д.— Электрон. текстовые данные.— М.: ЮНИТИ-ДАНА, 2011.— 575 c.— Режим доступа: http://www.iprbookshop.ru/7038.—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Эриашвили Н.Д. Гражданский процесс [Электронный ресурс]: учебник для студентов вузов, обучающихся по специальности 030501 «Юриспруденция»/Эриашвили Н.Д., Туманова Л.В., Алексий П.В.— Электрон. текстовые данные.— М.: ЮНИТИ-ДАНА, 2015.— 599 c.— Режим доступа: http://www.iprbookshop.ru/12837.—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Юсупов Т.Б. "Обеспечение иска в арбитражном и гражданском процессе". "Городец", 2006.</w:t>
      </w:r>
    </w:p>
    <w:p w:rsidR="005A1781" w:rsidRPr="002121A0" w:rsidRDefault="005A1781" w:rsidP="005A1781">
      <w:pPr>
        <w:widowControl/>
        <w:tabs>
          <w:tab w:val="left" w:pos="1134"/>
        </w:tabs>
        <w:autoSpaceDE/>
        <w:adjustRightInd/>
        <w:ind w:left="709"/>
        <w:jc w:val="both"/>
      </w:pPr>
    </w:p>
    <w:p w:rsidR="005A1781" w:rsidRPr="002121A0" w:rsidRDefault="005A1781" w:rsidP="005A1781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8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9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>айт российского домена, посвящённый Европейскому Суду по правам человека &lt;</w:t>
      </w:r>
      <w:hyperlink r:id="rId10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11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12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13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</w:t>
      </w:r>
      <w:r w:rsidRPr="0023059C">
        <w:lastRenderedPageBreak/>
        <w:t xml:space="preserve">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886"/>
        <w:gridCol w:w="3957"/>
      </w:tblGrid>
      <w:tr w:rsidR="00D9333D" w:rsidRPr="00477E4A" w:rsidTr="00D9333D">
        <w:trPr>
          <w:trHeight w:val="9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202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4.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lastRenderedPageBreak/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>знакомиться с поступившими в президиум городского (областного) суда жалобами и 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 xml:space="preserve">ответствующие дела, составить по </w:t>
      </w:r>
      <w:r w:rsidRPr="0047181F">
        <w:rPr>
          <w:rFonts w:ascii="Times New Roman" w:hAnsi="Times New Roman"/>
          <w:sz w:val="24"/>
          <w:szCs w:val="24"/>
        </w:rPr>
        <w:lastRenderedPageBreak/>
        <w:t>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lastRenderedPageBreak/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Pr="009850BE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Pr="00076444">
        <w:t xml:space="preserve"> 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>Договор</w:t>
      </w:r>
      <w:r w:rsidR="00610758">
        <w:t xml:space="preserve"> </w:t>
      </w:r>
      <w:r>
        <w:t xml:space="preserve">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EA2F32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EA2F32">
        <w:rPr>
          <w:rFonts w:ascii="Times New Roman"/>
        </w:rPr>
        <w:fldChar w:fldCharType="begin"/>
      </w:r>
      <w:r w:rsidR="00917DE9" w:rsidRPr="006D3EE8">
        <w:rPr>
          <w:rFonts w:ascii="Times New Roman"/>
        </w:rPr>
        <w:instrText xml:space="preserve"> TOC \o "1-3" \h \z \u </w:instrText>
      </w:r>
      <w:r w:rsidRPr="00EA2F32">
        <w:rPr>
          <w:rFonts w:ascii="Times New Roman"/>
        </w:rPr>
        <w:fldChar w:fldCharType="separate"/>
      </w:r>
      <w:hyperlink r:id="rId14" w:anchor="_Toc473902500" w:history="1">
        <w:r w:rsidR="00917DE9"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EA2F32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5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EA2F32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6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EA2F32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lastRenderedPageBreak/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lastRenderedPageBreak/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lastRenderedPageBreak/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lastRenderedPageBreak/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>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lastRenderedPageBreak/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4.2. Настоящий Договор может быть расторгнут по соглашению Сторон или по </w:t>
      </w:r>
      <w:r w:rsidRPr="00552D10">
        <w:lastRenderedPageBreak/>
        <w:t>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EA2F32" w:rsidP="00552D10">
      <w:pPr>
        <w:rPr>
          <w:b/>
          <w:bCs/>
        </w:rPr>
      </w:pPr>
      <w:r w:rsidRPr="00EA2F32">
        <w:rPr>
          <w:noProof/>
        </w:rPr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23059C">
        <w:rPr>
          <w:rFonts w:ascii="Times New Roman" w:hAnsi="Times New Roman"/>
          <w:sz w:val="24"/>
          <w:szCs w:val="24"/>
        </w:rPr>
        <w:t>Индивидуальное задание для прохождения учебной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lastRenderedPageBreak/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2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t>Рабочий график (план) проведения практики</w:t>
      </w:r>
      <w:bookmarkEnd w:id="2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3" w:name="_Toc473902502"/>
      <w:r w:rsidRPr="0023059C"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030900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Pr="0023059C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75339C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01A22">
        <w:t xml:space="preserve"> </w:t>
      </w:r>
      <w:r w:rsidR="0075339C">
        <w:t>04</w:t>
      </w:r>
      <w:r w:rsidR="00001A22">
        <w:t>.</w:t>
      </w:r>
    </w:p>
    <w:sectPr w:rsidR="00FF4287" w:rsidRPr="0023059C" w:rsidSect="0051654D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00" w:rsidRDefault="00AD4F00" w:rsidP="005F4AB1">
      <w:r>
        <w:separator/>
      </w:r>
    </w:p>
  </w:endnote>
  <w:endnote w:type="continuationSeparator" w:id="0">
    <w:p w:rsidR="00AD4F00" w:rsidRDefault="00AD4F00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AF" w:rsidRDefault="00EA2F32">
    <w:pPr>
      <w:pStyle w:val="ac"/>
      <w:jc w:val="center"/>
    </w:pPr>
    <w:r>
      <w:fldChar w:fldCharType="begin"/>
    </w:r>
    <w:r w:rsidR="00BB1037">
      <w:instrText xml:space="preserve"> PAGE   \* MERGEFORMAT </w:instrText>
    </w:r>
    <w:r>
      <w:fldChar w:fldCharType="separate"/>
    </w:r>
    <w:r w:rsidR="00A53D3B">
      <w:rPr>
        <w:noProof/>
      </w:rPr>
      <w:t>31</w:t>
    </w:r>
    <w:r>
      <w:rPr>
        <w:noProof/>
      </w:rPr>
      <w:fldChar w:fldCharType="end"/>
    </w:r>
  </w:p>
  <w:p w:rsidR="00FF3CAF" w:rsidRDefault="00FF3C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00" w:rsidRDefault="00AD4F00" w:rsidP="005F4AB1">
      <w:r>
        <w:separator/>
      </w:r>
    </w:p>
  </w:footnote>
  <w:footnote w:type="continuationSeparator" w:id="0">
    <w:p w:rsidR="00AD4F00" w:rsidRDefault="00AD4F00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495E"/>
    <w:rsid w:val="00187272"/>
    <w:rsid w:val="001924B6"/>
    <w:rsid w:val="001957A1"/>
    <w:rsid w:val="001A63CA"/>
    <w:rsid w:val="001A74A4"/>
    <w:rsid w:val="001B19FB"/>
    <w:rsid w:val="001B7A5B"/>
    <w:rsid w:val="001D00F9"/>
    <w:rsid w:val="001D53AD"/>
    <w:rsid w:val="001E7AA0"/>
    <w:rsid w:val="002000C8"/>
    <w:rsid w:val="002121A0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0C2B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10758"/>
    <w:rsid w:val="00610D1D"/>
    <w:rsid w:val="00612A28"/>
    <w:rsid w:val="00630992"/>
    <w:rsid w:val="00630E49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7492"/>
    <w:rsid w:val="008B30BC"/>
    <w:rsid w:val="008B3F74"/>
    <w:rsid w:val="008B6E78"/>
    <w:rsid w:val="008D714D"/>
    <w:rsid w:val="008D7B57"/>
    <w:rsid w:val="008F61D1"/>
    <w:rsid w:val="008F7065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B18A0"/>
    <w:rsid w:val="009B1DB1"/>
    <w:rsid w:val="009B6364"/>
    <w:rsid w:val="009D112C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53D3B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D4F00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90C77"/>
    <w:rsid w:val="00B93718"/>
    <w:rsid w:val="00B93923"/>
    <w:rsid w:val="00B94220"/>
    <w:rsid w:val="00B95D36"/>
    <w:rsid w:val="00B95E8D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334F"/>
    <w:rsid w:val="00CB68B9"/>
    <w:rsid w:val="00CB741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DF5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2F32"/>
    <w:rsid w:val="00EA7CE0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3653"/>
    <w:rsid w:val="00EF39E9"/>
    <w:rsid w:val="00F033D3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61EC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  <w:lang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0" Type="http://schemas.openxmlformats.org/officeDocument/2006/relationships/hyperlink" Target="http://www.espch.ru/component/option,com_frontpage/Itemid,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66605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olesya</cp:lastModifiedBy>
  <cp:revision>4</cp:revision>
  <dcterms:created xsi:type="dcterms:W3CDTF">2018-04-01T15:54:00Z</dcterms:created>
  <dcterms:modified xsi:type="dcterms:W3CDTF">2018-05-29T09:13:00Z</dcterms:modified>
</cp:coreProperties>
</file>